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6B820379"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7F4B02">
        <w:rPr>
          <w:rFonts w:eastAsiaTheme="minorEastAsia" w:cs="Arial"/>
          <w:bCs/>
          <w:noProof w:val="0"/>
          <w:color w:val="000000" w:themeColor="text1"/>
          <w:sz w:val="22"/>
          <w:szCs w:val="22"/>
          <w:lang w:eastAsia="zh-CN"/>
        </w:rPr>
        <w:t>8</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A8722E" w:rsidRPr="00A8722E">
        <w:rPr>
          <w:rFonts w:eastAsiaTheme="minorEastAsia" w:cs="Arial"/>
          <w:bCs/>
          <w:noProof w:val="0"/>
          <w:color w:val="000000" w:themeColor="text1"/>
          <w:sz w:val="22"/>
          <w:szCs w:val="22"/>
          <w:lang w:val="en-GB" w:eastAsia="zh-CN"/>
        </w:rPr>
        <w:t>2313057</w:t>
      </w:r>
    </w:p>
    <w:p w14:paraId="6A25EC1C" w14:textId="0BC073C1" w:rsidR="00E07AF8" w:rsidRPr="006B21ED" w:rsidRDefault="007F4B02" w:rsidP="00E07AF8">
      <w:pPr>
        <w:pStyle w:val="Header"/>
        <w:tabs>
          <w:tab w:val="right" w:pos="9639"/>
          <w:tab w:val="right" w:pos="13323"/>
        </w:tabs>
        <w:jc w:val="both"/>
        <w:rPr>
          <w:rFonts w:eastAsiaTheme="minorEastAsia" w:cs="Arial"/>
          <w:bCs/>
          <w:noProof w:val="0"/>
          <w:sz w:val="22"/>
          <w:szCs w:val="22"/>
          <w:lang w:eastAsia="zh-CN"/>
        </w:rPr>
      </w:pPr>
      <w:bookmarkStart w:id="2" w:name="_Hlk142642216"/>
      <w:r w:rsidRPr="00783124">
        <w:rPr>
          <w:rFonts w:eastAsiaTheme="minorEastAsia" w:cs="Arial"/>
          <w:bCs/>
          <w:noProof w:val="0"/>
          <w:sz w:val="22"/>
          <w:szCs w:val="22"/>
          <w:lang w:eastAsia="zh-CN"/>
        </w:rPr>
        <w:t>Toulouse, France meeting, August 21</w:t>
      </w:r>
      <w:r w:rsidRPr="00783124">
        <w:rPr>
          <w:rFonts w:eastAsiaTheme="minorEastAsia" w:cs="Arial"/>
          <w:bCs/>
          <w:noProof w:val="0"/>
          <w:sz w:val="22"/>
          <w:szCs w:val="22"/>
          <w:vertAlign w:val="superscript"/>
          <w:lang w:eastAsia="zh-CN"/>
        </w:rPr>
        <w:t xml:space="preserve">st </w:t>
      </w:r>
      <w:r w:rsidRPr="00783124">
        <w:rPr>
          <w:rFonts w:eastAsiaTheme="minorEastAsia" w:cs="Arial"/>
          <w:bCs/>
          <w:noProof w:val="0"/>
          <w:sz w:val="22"/>
          <w:szCs w:val="22"/>
          <w:lang w:eastAsia="zh-CN"/>
        </w:rPr>
        <w:t>– 25</w:t>
      </w:r>
      <w:r w:rsidRPr="00783124">
        <w:rPr>
          <w:rFonts w:eastAsiaTheme="minorEastAsia" w:cs="Arial"/>
          <w:bCs/>
          <w:noProof w:val="0"/>
          <w:sz w:val="22"/>
          <w:szCs w:val="22"/>
          <w:vertAlign w:val="superscript"/>
          <w:lang w:eastAsia="zh-CN"/>
        </w:rPr>
        <w:t>th</w:t>
      </w:r>
      <w:bookmarkEnd w:id="2"/>
      <w:r w:rsidR="004A3F4B" w:rsidRPr="00C12B3F">
        <w:rPr>
          <w:rFonts w:eastAsiaTheme="minorEastAsia" w:cs="Arial"/>
          <w:bCs/>
          <w:noProof w:val="0"/>
          <w:sz w:val="22"/>
          <w:szCs w:val="22"/>
          <w:lang w:eastAsia="zh-CN"/>
        </w:rPr>
        <w:t>,</w:t>
      </w:r>
      <w:r w:rsidR="004A3F4B" w:rsidRPr="001C6FE9">
        <w:rPr>
          <w:rFonts w:eastAsiaTheme="minorEastAsia" w:cs="Arial"/>
          <w:bCs/>
          <w:noProof w:val="0"/>
          <w:color w:val="000000" w:themeColor="text1"/>
          <w:sz w:val="22"/>
          <w:szCs w:val="22"/>
          <w:lang w:eastAsia="zh-CN"/>
        </w:rPr>
        <w:t xml:space="preserve"> </w:t>
      </w:r>
      <w:r w:rsidR="004A3F4B" w:rsidRPr="006B21ED">
        <w:rPr>
          <w:rFonts w:eastAsiaTheme="minorEastAsia" w:cs="Arial"/>
          <w:bCs/>
          <w:noProof w:val="0"/>
          <w:sz w:val="22"/>
          <w:szCs w:val="22"/>
          <w:lang w:eastAsia="zh-CN"/>
        </w:rPr>
        <w:t>202</w:t>
      </w:r>
      <w:r w:rsidR="004A3F4B">
        <w:rPr>
          <w:rFonts w:eastAsiaTheme="minorEastAsia" w:cs="Arial"/>
          <w:bCs/>
          <w:noProof w:val="0"/>
          <w:sz w:val="22"/>
          <w:szCs w:val="22"/>
          <w:lang w:eastAsia="zh-CN"/>
        </w:rPr>
        <w:t>3</w:t>
      </w:r>
    </w:p>
    <w:bookmarkEnd w:id="1"/>
    <w:p w14:paraId="4BDFE11D" w14:textId="248BB941"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4A3F4B">
        <w:rPr>
          <w:rFonts w:eastAsiaTheme="minorEastAsia" w:cs="Arial"/>
          <w:bCs/>
          <w:noProof w:val="0"/>
          <w:sz w:val="22"/>
          <w:szCs w:val="22"/>
          <w:lang w:val="en-GB" w:eastAsia="zh-CN"/>
        </w:rPr>
        <w:t>8</w:t>
      </w:r>
      <w:r w:rsidR="007B120C" w:rsidRPr="007B120C">
        <w:rPr>
          <w:rFonts w:eastAsiaTheme="minorEastAsia" w:cs="Arial"/>
          <w:bCs/>
          <w:noProof w:val="0"/>
          <w:sz w:val="22"/>
          <w:szCs w:val="22"/>
          <w:lang w:val="en-GB" w:eastAsia="zh-CN"/>
        </w:rPr>
        <w:t>.1</w:t>
      </w:r>
      <w:r w:rsidR="007F4B02">
        <w:rPr>
          <w:rFonts w:eastAsiaTheme="minorEastAsia" w:cs="Arial"/>
          <w:bCs/>
          <w:noProof w:val="0"/>
          <w:sz w:val="22"/>
          <w:szCs w:val="22"/>
          <w:lang w:val="en-GB" w:eastAsia="zh-CN"/>
        </w:rPr>
        <w:t>0</w:t>
      </w:r>
      <w:r w:rsidR="007B120C" w:rsidRPr="007B120C">
        <w:rPr>
          <w:rFonts w:eastAsiaTheme="minorEastAsia" w:cs="Arial"/>
          <w:bCs/>
          <w:noProof w:val="0"/>
          <w:sz w:val="22"/>
          <w:szCs w:val="22"/>
          <w:lang w:val="en-GB" w:eastAsia="zh-CN"/>
        </w:rPr>
        <w:t>.2.</w:t>
      </w:r>
      <w:r w:rsidR="000058FD">
        <w:rPr>
          <w:rFonts w:eastAsiaTheme="minorEastAsia" w:cs="Arial"/>
          <w:bCs/>
          <w:noProof w:val="0"/>
          <w:sz w:val="22"/>
          <w:szCs w:val="22"/>
          <w:lang w:val="en-GB" w:eastAsia="zh-CN"/>
        </w:rPr>
        <w:t>3</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2672C4BC"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C5769C">
        <w:rPr>
          <w:rFonts w:eastAsiaTheme="minorEastAsia" w:cs="Arial"/>
          <w:bCs/>
          <w:noProof w:val="0"/>
          <w:sz w:val="22"/>
          <w:szCs w:val="22"/>
          <w:lang w:eastAsia="zh-CN"/>
        </w:rPr>
        <w:t xml:space="preserve">BWP </w:t>
      </w:r>
      <w:r w:rsidR="00C821D8">
        <w:rPr>
          <w:rFonts w:eastAsiaTheme="minorEastAsia" w:cs="Arial"/>
          <w:bCs/>
          <w:noProof w:val="0"/>
          <w:sz w:val="22"/>
          <w:szCs w:val="22"/>
          <w:lang w:eastAsia="zh-CN"/>
        </w:rPr>
        <w:t xml:space="preserve">operation </w:t>
      </w:r>
      <w:r w:rsidR="00C5769C">
        <w:rPr>
          <w:rFonts w:eastAsiaTheme="minorEastAsia" w:cs="Arial"/>
          <w:bCs/>
          <w:noProof w:val="0"/>
          <w:sz w:val="22"/>
          <w:szCs w:val="22"/>
          <w:lang w:eastAsia="zh-CN"/>
        </w:rPr>
        <w:t>without</w:t>
      </w:r>
      <w:r w:rsidR="00C821D8">
        <w:rPr>
          <w:rFonts w:eastAsiaTheme="minorEastAsia" w:cs="Arial"/>
          <w:bCs/>
          <w:noProof w:val="0"/>
          <w:sz w:val="22"/>
          <w:szCs w:val="22"/>
          <w:lang w:eastAsia="zh-CN"/>
        </w:rPr>
        <w:t xml:space="preserve"> BW</w:t>
      </w:r>
      <w:r w:rsidR="00C5769C">
        <w:rPr>
          <w:rFonts w:eastAsiaTheme="minorEastAsia" w:cs="Arial"/>
          <w:bCs/>
          <w:noProof w:val="0"/>
          <w:sz w:val="22"/>
          <w:szCs w:val="22"/>
          <w:lang w:eastAsia="zh-CN"/>
        </w:rPr>
        <w:t xml:space="preserve"> </w:t>
      </w:r>
      <w:r w:rsidR="00C821D8">
        <w:rPr>
          <w:rFonts w:eastAsiaTheme="minorEastAsia" w:cs="Arial"/>
          <w:bCs/>
          <w:noProof w:val="0"/>
          <w:sz w:val="22"/>
          <w:szCs w:val="22"/>
          <w:lang w:eastAsia="zh-CN"/>
        </w:rPr>
        <w:t>restrictions</w:t>
      </w:r>
      <w:r w:rsidR="001A454F">
        <w:rPr>
          <w:rFonts w:eastAsiaTheme="minorEastAsia" w:cs="Arial"/>
          <w:bCs/>
          <w:noProof w:val="0"/>
          <w:sz w:val="22"/>
          <w:szCs w:val="22"/>
          <w:lang w:eastAsia="zh-CN"/>
        </w:rPr>
        <w:t xml:space="preserve"> – Option </w:t>
      </w:r>
      <w:r w:rsidR="00D4182E">
        <w:rPr>
          <w:rFonts w:eastAsiaTheme="minorEastAsia" w:cs="Arial"/>
          <w:bCs/>
          <w:noProof w:val="0"/>
          <w:sz w:val="22"/>
          <w:szCs w:val="22"/>
          <w:lang w:eastAsia="zh-CN"/>
        </w:rPr>
        <w:t>C</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3" w:name="_Ref118271349"/>
      <w:r w:rsidR="00EE7FA7" w:rsidRPr="006B21ED">
        <w:rPr>
          <w:rFonts w:ascii="Arial" w:hAnsi="Arial" w:cs="Arial"/>
        </w:rPr>
        <w:t>Introduction</w:t>
      </w:r>
      <w:bookmarkEnd w:id="3"/>
    </w:p>
    <w:p w14:paraId="2BC7964F" w14:textId="1012BB09"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BE4793">
        <w:t>99</w:t>
      </w:r>
      <w:r w:rsidR="000B5FAA">
        <w:t xml:space="preserve"> and </w:t>
      </w:r>
      <w:r w:rsidR="00BE4793">
        <w:t>defined a new WI with objectives captured below</w:t>
      </w:r>
      <w:r w:rsidR="0005255B">
        <w:t xml:space="preserve"> </w:t>
      </w:r>
      <w:r w:rsidR="002B1C13">
        <w:fldChar w:fldCharType="begin"/>
      </w:r>
      <w:r w:rsidR="002B1C13">
        <w:instrText xml:space="preserve"> REF _Ref115358872 \r \h </w:instrText>
      </w:r>
      <w:r w:rsidR="002B1C13">
        <w:fldChar w:fldCharType="separate"/>
      </w:r>
      <w:r w:rsidR="006059D4">
        <w:t>[1]</w:t>
      </w:r>
      <w:r w:rsidR="002B1C13">
        <w:fldChar w:fldCharType="end"/>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76213A3" w14:textId="2C14DF9D" w:rsidR="0079270E" w:rsidRPr="0079270E" w:rsidRDefault="0079270E" w:rsidP="0079270E">
            <w:pPr>
              <w:pStyle w:val="Heading2"/>
              <w:numPr>
                <w:ilvl w:val="0"/>
                <w:numId w:val="0"/>
              </w:numPr>
              <w:ind w:left="576" w:hanging="576"/>
              <w:rPr>
                <w:rFonts w:asciiTheme="minorHAnsi" w:hAnsiTheme="minorHAnsi" w:cstheme="minorHAnsi"/>
                <w:sz w:val="20"/>
              </w:rPr>
            </w:pPr>
            <w:r w:rsidRPr="0079270E">
              <w:rPr>
                <w:rFonts w:asciiTheme="minorHAnsi" w:hAnsiTheme="minorHAnsi" w:cstheme="minorHAnsi"/>
                <w:sz w:val="20"/>
              </w:rPr>
              <w:t>Objective</w:t>
            </w:r>
          </w:p>
          <w:p w14:paraId="28980991" w14:textId="0F60425F" w:rsidR="0079270E" w:rsidRPr="0079270E" w:rsidRDefault="0079270E" w:rsidP="00631E72">
            <w:pPr>
              <w:pStyle w:val="Heading3"/>
              <w:numPr>
                <w:ilvl w:val="0"/>
                <w:numId w:val="0"/>
              </w:numPr>
              <w:ind w:left="576" w:hanging="576"/>
              <w:rPr>
                <w:rFonts w:asciiTheme="minorHAnsi" w:hAnsiTheme="minorHAnsi" w:cstheme="minorHAnsi"/>
                <w:color w:val="0000FF"/>
                <w:sz w:val="20"/>
              </w:rPr>
            </w:pPr>
            <w:r w:rsidRPr="0079270E">
              <w:rPr>
                <w:rFonts w:asciiTheme="minorHAnsi" w:hAnsiTheme="minorHAnsi" w:cstheme="minorHAnsi"/>
                <w:color w:val="0000FF"/>
                <w:sz w:val="20"/>
              </w:rPr>
              <w:t xml:space="preserve">Objective Core part WI </w:t>
            </w:r>
          </w:p>
          <w:p w14:paraId="5DEDE4C9" w14:textId="77777777" w:rsidR="007F4B02" w:rsidRPr="002E5B9F" w:rsidRDefault="007F4B02" w:rsidP="007F4B02">
            <w:pPr>
              <w:pStyle w:val="Heading3"/>
              <w:numPr>
                <w:ilvl w:val="0"/>
                <w:numId w:val="0"/>
              </w:numPr>
              <w:ind w:left="576" w:hanging="576"/>
              <w:rPr>
                <w:rFonts w:asciiTheme="minorHAnsi" w:eastAsia="DengXian" w:hAnsiTheme="minorHAnsi" w:cstheme="minorHAnsi"/>
                <w:sz w:val="20"/>
                <w:lang w:val="en-US"/>
              </w:rPr>
            </w:pPr>
            <w:r w:rsidRPr="002E5B9F">
              <w:rPr>
                <w:rFonts w:asciiTheme="minorHAnsi" w:eastAsia="DengXian" w:hAnsiTheme="minorHAnsi" w:cstheme="minorHAnsi"/>
                <w:sz w:val="20"/>
                <w:lang w:val="en-US"/>
              </w:rPr>
              <w:t xml:space="preserve">The work item includes following objectives for non-Redcap UE: </w:t>
            </w:r>
          </w:p>
          <w:p w14:paraId="0A6EE643" w14:textId="77777777" w:rsidR="007F4B02" w:rsidRPr="002E5B9F" w:rsidRDefault="007F4B02" w:rsidP="007F4B02">
            <w:pPr>
              <w:rPr>
                <w:rFonts w:eastAsia="Yu Mincho" w:cstheme="minorHAnsi"/>
                <w:sz w:val="20"/>
                <w:szCs w:val="20"/>
                <w:lang w:val="en-US"/>
              </w:rPr>
            </w:pPr>
            <w:r w:rsidRPr="002E5B9F">
              <w:rPr>
                <w:rFonts w:cstheme="minorHAnsi"/>
                <w:color w:val="000000"/>
                <w:sz w:val="20"/>
                <w:szCs w:val="20"/>
              </w:rPr>
              <w:t>1) Specify support for BM/RLM/BFD</w:t>
            </w:r>
            <w:r w:rsidRPr="002E5B9F">
              <w:rPr>
                <w:rFonts w:cstheme="minorHAnsi"/>
                <w:iCs/>
                <w:sz w:val="20"/>
                <w:szCs w:val="20"/>
              </w:rPr>
              <w:t>:</w:t>
            </w:r>
          </w:p>
          <w:p w14:paraId="5D56A5D4" w14:textId="77777777" w:rsidR="007F4B02" w:rsidRPr="002E5B9F" w:rsidRDefault="007F4B02" w:rsidP="007F4B02">
            <w:pPr>
              <w:numPr>
                <w:ilvl w:val="0"/>
                <w:numId w:val="29"/>
              </w:numPr>
              <w:tabs>
                <w:tab w:val="clear" w:pos="360"/>
                <w:tab w:val="num" w:pos="1080"/>
              </w:tabs>
              <w:overflowPunct w:val="0"/>
              <w:autoSpaceDE w:val="0"/>
              <w:autoSpaceDN w:val="0"/>
              <w:adjustRightInd w:val="0"/>
              <w:spacing w:after="120" w:line="240" w:lineRule="auto"/>
              <w:ind w:left="1080"/>
              <w:textAlignment w:val="baseline"/>
              <w:rPr>
                <w:rFonts w:cstheme="minorHAnsi"/>
                <w:sz w:val="20"/>
                <w:szCs w:val="20"/>
                <w:lang w:val="en-US"/>
              </w:rPr>
            </w:pPr>
            <w:r w:rsidRPr="002E5B9F">
              <w:rPr>
                <w:rFonts w:eastAsia="DengXian" w:cstheme="minorHAnsi"/>
                <w:sz w:val="20"/>
                <w:szCs w:val="20"/>
                <w:lang w:val="en-US"/>
              </w:rPr>
              <w:t xml:space="preserve">For Option C </w:t>
            </w:r>
          </w:p>
          <w:p w14:paraId="6024A7FB" w14:textId="77777777" w:rsidR="007F4B02" w:rsidRPr="002E5B9F" w:rsidRDefault="007F4B02" w:rsidP="007F4B02">
            <w:pPr>
              <w:numPr>
                <w:ilvl w:val="1"/>
                <w:numId w:val="29"/>
              </w:numPr>
              <w:tabs>
                <w:tab w:val="clear" w:pos="1080"/>
                <w:tab w:val="num" w:pos="1800"/>
              </w:tabs>
              <w:overflowPunct w:val="0"/>
              <w:autoSpaceDE w:val="0"/>
              <w:autoSpaceDN w:val="0"/>
              <w:adjustRightInd w:val="0"/>
              <w:spacing w:after="120" w:line="240" w:lineRule="auto"/>
              <w:ind w:left="1800"/>
              <w:textAlignment w:val="baseline"/>
              <w:rPr>
                <w:rFonts w:cstheme="minorHAnsi"/>
                <w:sz w:val="20"/>
                <w:szCs w:val="20"/>
                <w:lang w:val="en-US"/>
              </w:rPr>
            </w:pPr>
            <w:r w:rsidRPr="002E5B9F">
              <w:rPr>
                <w:rFonts w:cstheme="minorHAnsi"/>
                <w:sz w:val="20"/>
                <w:szCs w:val="20"/>
                <w:lang w:val="en-US"/>
              </w:rPr>
              <w:t>Specify support of BM/RLM/BFD based on NCD-SSB within active BWP for non-</w:t>
            </w:r>
            <w:proofErr w:type="spellStart"/>
            <w:r w:rsidRPr="002E5B9F">
              <w:rPr>
                <w:rFonts w:cstheme="minorHAnsi"/>
                <w:sz w:val="20"/>
                <w:szCs w:val="20"/>
                <w:lang w:val="en-US"/>
              </w:rPr>
              <w:t>RedCap</w:t>
            </w:r>
            <w:proofErr w:type="spellEnd"/>
            <w:r w:rsidRPr="002E5B9F">
              <w:rPr>
                <w:rFonts w:cstheme="minorHAnsi"/>
                <w:sz w:val="20"/>
                <w:szCs w:val="20"/>
                <w:lang w:val="en-US"/>
              </w:rPr>
              <w:t xml:space="preserve"> UEs (RAN4, RAN2, RAN1)</w:t>
            </w:r>
          </w:p>
          <w:p w14:paraId="58740692" w14:textId="77777777" w:rsidR="007F4B02" w:rsidRPr="002E5B9F" w:rsidRDefault="007F4B02" w:rsidP="007F4B02">
            <w:pPr>
              <w:spacing w:after="0"/>
              <w:rPr>
                <w:rFonts w:cstheme="minorHAnsi"/>
                <w:bCs/>
                <w:sz w:val="20"/>
                <w:szCs w:val="20"/>
                <w:lang w:eastAsia="ja-JP"/>
              </w:rPr>
            </w:pPr>
          </w:p>
          <w:p w14:paraId="762CE7FA" w14:textId="77777777" w:rsidR="007F4B02" w:rsidRPr="002E5B9F" w:rsidRDefault="007F4B02" w:rsidP="007F4B02">
            <w:pPr>
              <w:spacing w:after="120"/>
              <w:rPr>
                <w:rFonts w:cstheme="minorHAnsi"/>
                <w:bCs/>
                <w:sz w:val="20"/>
                <w:szCs w:val="20"/>
                <w:lang w:eastAsia="ja-JP"/>
              </w:rPr>
            </w:pPr>
            <w:r w:rsidRPr="002E5B9F">
              <w:rPr>
                <w:rFonts w:cstheme="minorHAnsi"/>
                <w:bCs/>
                <w:sz w:val="20"/>
                <w:szCs w:val="20"/>
                <w:lang w:eastAsia="ja-JP"/>
              </w:rPr>
              <w:t xml:space="preserve">2) </w:t>
            </w:r>
            <w:r w:rsidRPr="002E5B9F">
              <w:rPr>
                <w:rFonts w:cstheme="minorHAnsi"/>
                <w:bCs/>
                <w:sz w:val="20"/>
                <w:szCs w:val="20"/>
                <w:lang w:val="en-US" w:eastAsia="ja-JP"/>
              </w:rPr>
              <w:t>Specify the necessary requirements to support L3 intra-frequency measurements without gaps (RAN4)</w:t>
            </w:r>
          </w:p>
          <w:p w14:paraId="5E53B0BE" w14:textId="77777777" w:rsidR="007F4B02" w:rsidRPr="002E5B9F" w:rsidRDefault="007F4B02" w:rsidP="007F4B02">
            <w:pPr>
              <w:numPr>
                <w:ilvl w:val="0"/>
                <w:numId w:val="29"/>
              </w:numPr>
              <w:tabs>
                <w:tab w:val="clear" w:pos="360"/>
                <w:tab w:val="num" w:pos="1080"/>
              </w:tabs>
              <w:overflowPunct w:val="0"/>
              <w:autoSpaceDE w:val="0"/>
              <w:autoSpaceDN w:val="0"/>
              <w:adjustRightInd w:val="0"/>
              <w:spacing w:after="120" w:line="240" w:lineRule="auto"/>
              <w:ind w:left="1080"/>
              <w:textAlignment w:val="baseline"/>
              <w:rPr>
                <w:rFonts w:eastAsia="DengXian" w:cstheme="minorHAnsi"/>
                <w:sz w:val="20"/>
                <w:szCs w:val="20"/>
                <w:lang w:val="en-US"/>
              </w:rPr>
            </w:pPr>
            <w:r w:rsidRPr="002E5B9F">
              <w:rPr>
                <w:rFonts w:eastAsia="DengXian" w:cstheme="minorHAnsi"/>
                <w:sz w:val="20"/>
                <w:szCs w:val="20"/>
                <w:lang w:val="en-US"/>
              </w:rPr>
              <w:t>For Option C</w:t>
            </w:r>
          </w:p>
          <w:p w14:paraId="4BB046D5" w14:textId="77777777" w:rsidR="007F4B02" w:rsidRPr="002E5B9F" w:rsidRDefault="007F4B02" w:rsidP="007F4B02">
            <w:pPr>
              <w:numPr>
                <w:ilvl w:val="1"/>
                <w:numId w:val="29"/>
              </w:numPr>
              <w:tabs>
                <w:tab w:val="clear" w:pos="1080"/>
                <w:tab w:val="num" w:pos="1800"/>
              </w:tabs>
              <w:overflowPunct w:val="0"/>
              <w:autoSpaceDE w:val="0"/>
              <w:autoSpaceDN w:val="0"/>
              <w:adjustRightInd w:val="0"/>
              <w:spacing w:after="120" w:line="240" w:lineRule="auto"/>
              <w:ind w:left="1800"/>
              <w:textAlignment w:val="baseline"/>
              <w:rPr>
                <w:rFonts w:eastAsia="DengXian" w:cstheme="minorHAnsi"/>
                <w:sz w:val="20"/>
                <w:szCs w:val="20"/>
                <w:lang w:val="en-US"/>
              </w:rPr>
            </w:pPr>
            <w:r w:rsidRPr="002E5B9F">
              <w:rPr>
                <w:rFonts w:eastAsia="DengXian" w:cstheme="minorHAnsi"/>
                <w:sz w:val="20"/>
                <w:szCs w:val="20"/>
                <w:lang w:val="en-US"/>
              </w:rPr>
              <w:t xml:space="preserve">Specify requirements for L3 intra-frequency measurements based on existing </w:t>
            </w:r>
            <w:proofErr w:type="spellStart"/>
            <w:r w:rsidRPr="002E5B9F">
              <w:rPr>
                <w:rFonts w:eastAsia="DengXian" w:cstheme="minorHAnsi"/>
                <w:sz w:val="20"/>
                <w:szCs w:val="20"/>
                <w:lang w:val="en-US"/>
              </w:rPr>
              <w:t>RedCap</w:t>
            </w:r>
            <w:proofErr w:type="spellEnd"/>
            <w:r w:rsidRPr="002E5B9F">
              <w:rPr>
                <w:rFonts w:eastAsia="DengXian" w:cstheme="minorHAnsi"/>
                <w:sz w:val="20"/>
                <w:szCs w:val="20"/>
                <w:lang w:val="en-US"/>
              </w:rPr>
              <w:t xml:space="preserve"> NCD-SSB requirements.</w:t>
            </w:r>
          </w:p>
          <w:p w14:paraId="1CE2EF42" w14:textId="6D0D2199" w:rsidR="000B5FAA" w:rsidRPr="000058FD" w:rsidRDefault="007F4B02" w:rsidP="00035C4A">
            <w:pPr>
              <w:overflowPunct w:val="0"/>
              <w:autoSpaceDE w:val="0"/>
              <w:autoSpaceDN w:val="0"/>
              <w:adjustRightInd w:val="0"/>
              <w:textAlignment w:val="baseline"/>
            </w:pPr>
            <w:r w:rsidRPr="002E5B9F">
              <w:rPr>
                <w:rFonts w:eastAsia="Microsoft YaHei" w:cstheme="minorHAnsi"/>
                <w:sz w:val="20"/>
                <w:szCs w:val="20"/>
              </w:rPr>
              <w:t>The expected RAN2 impacts are the RRC configuration signalling for the above options, and the capability signalling aspects.</w:t>
            </w:r>
          </w:p>
        </w:tc>
      </w:tr>
    </w:tbl>
    <w:p w14:paraId="189CBA26" w14:textId="474AE8E0" w:rsidR="002A7349" w:rsidRPr="00BC73EE" w:rsidRDefault="0079270E" w:rsidP="00BC73EE">
      <w:pPr>
        <w:jc w:val="both"/>
      </w:pPr>
      <w:r>
        <w:t>Therefore, i</w:t>
      </w:r>
      <w:r w:rsidR="00347DA0">
        <w:t xml:space="preserve">n </w:t>
      </w:r>
      <w:r w:rsidR="00BC1625">
        <w:t xml:space="preserve">this contribution paper, we provide </w:t>
      </w:r>
      <w:r w:rsidR="00EC7030">
        <w:t xml:space="preserve">analysis and discussion on the </w:t>
      </w:r>
      <w:r w:rsidR="00347DA0">
        <w:t xml:space="preserve">completeness of Option </w:t>
      </w:r>
      <w:r w:rsidR="00A91C9D">
        <w:t>C</w:t>
      </w:r>
      <w:r w:rsidR="00347DA0">
        <w:t xml:space="preserve"> (</w:t>
      </w:r>
      <w:r w:rsidR="00A91C9D">
        <w:t>NCD-SSB</w:t>
      </w:r>
      <w:r w:rsidR="00347DA0">
        <w:t>)</w:t>
      </w:r>
      <w:r w:rsidR="00B92299">
        <w:t xml:space="preserve"> for L3 intra-frequency measurements</w:t>
      </w:r>
      <w:r w:rsidR="00BC1625">
        <w:t>.</w:t>
      </w:r>
      <w:r w:rsidR="00081243" w:rsidRPr="00081243">
        <w:t xml:space="preserve"> </w:t>
      </w:r>
    </w:p>
    <w:p w14:paraId="0FECC10D" w14:textId="1FD4A1D5" w:rsidR="001D43C9" w:rsidRDefault="00440D0E" w:rsidP="00440D0E">
      <w:pPr>
        <w:pStyle w:val="Heading1"/>
        <w:numPr>
          <w:ilvl w:val="0"/>
          <w:numId w:val="1"/>
        </w:numPr>
        <w:jc w:val="both"/>
        <w:rPr>
          <w:rFonts w:ascii="Arial" w:hAnsi="Arial" w:cs="Arial"/>
        </w:rPr>
      </w:pPr>
      <w:r>
        <w:rPr>
          <w:rFonts w:ascii="Arial" w:hAnsi="Arial" w:cs="Arial"/>
        </w:rPr>
        <w:t xml:space="preserve">Discussion on </w:t>
      </w:r>
      <w:r w:rsidR="001D43C9">
        <w:rPr>
          <w:rFonts w:ascii="Arial" w:hAnsi="Arial" w:cs="Arial"/>
        </w:rPr>
        <w:t xml:space="preserve">RRM requirements </w:t>
      </w:r>
    </w:p>
    <w:p w14:paraId="3A11BDAA" w14:textId="418B7E35" w:rsidR="00914962" w:rsidRDefault="00914962" w:rsidP="001D43C9">
      <w:pPr>
        <w:jc w:val="both"/>
      </w:pPr>
      <w:r w:rsidRPr="0079270E">
        <w:t xml:space="preserve">RAN4 has discussed the </w:t>
      </w:r>
      <w:r>
        <w:t>requirements applicability for</w:t>
      </w:r>
      <w:r w:rsidRPr="0079270E">
        <w:t xml:space="preserve"> Option </w:t>
      </w:r>
      <w:r w:rsidR="001C5A13">
        <w:t>C</w:t>
      </w:r>
      <w:r w:rsidRPr="0079270E">
        <w:t xml:space="preserve"> in the previous meeting R4#10</w:t>
      </w:r>
      <w:r w:rsidR="005A5219">
        <w:t>7</w:t>
      </w:r>
      <w:r w:rsidRPr="0079270E">
        <w:t xml:space="preserve"> RAN4 reached the following </w:t>
      </w:r>
      <w:r>
        <w:t>way forward:</w:t>
      </w:r>
    </w:p>
    <w:tbl>
      <w:tblPr>
        <w:tblStyle w:val="TableGrid"/>
        <w:tblW w:w="0" w:type="auto"/>
        <w:tblLook w:val="04A0" w:firstRow="1" w:lastRow="0" w:firstColumn="1" w:lastColumn="0" w:noHBand="0" w:noVBand="1"/>
      </w:tblPr>
      <w:tblGrid>
        <w:gridCol w:w="9629"/>
      </w:tblGrid>
      <w:tr w:rsidR="00914962" w14:paraId="44D23B10" w14:textId="77777777" w:rsidTr="00914962">
        <w:tc>
          <w:tcPr>
            <w:tcW w:w="9629" w:type="dxa"/>
          </w:tcPr>
          <w:p w14:paraId="2CC44B8A" w14:textId="77777777" w:rsidR="00ED38DE" w:rsidRPr="00ED38DE" w:rsidRDefault="00ED38DE" w:rsidP="00ED38DE">
            <w:pPr>
              <w:outlineLvl w:val="3"/>
              <w:rPr>
                <w:b/>
                <w:color w:val="000000" w:themeColor="text1"/>
                <w:sz w:val="20"/>
                <w:szCs w:val="20"/>
                <w:u w:val="single"/>
                <w:lang w:eastAsia="ko-KR"/>
              </w:rPr>
            </w:pPr>
            <w:r w:rsidRPr="00ED38DE">
              <w:rPr>
                <w:b/>
                <w:color w:val="000000" w:themeColor="text1"/>
                <w:sz w:val="20"/>
                <w:szCs w:val="20"/>
                <w:u w:val="single"/>
                <w:lang w:eastAsia="ko-KR"/>
              </w:rPr>
              <w:t>Issue 4-3: Clarification on existing timing requirements for supporting Option C</w:t>
            </w:r>
          </w:p>
          <w:p w14:paraId="0192BE82" w14:textId="77777777" w:rsidR="00ED38DE" w:rsidRPr="00ED38DE" w:rsidRDefault="00ED38DE" w:rsidP="00ED38DE">
            <w:pPr>
              <w:spacing w:afterLines="50" w:after="120"/>
              <w:rPr>
                <w:color w:val="000000" w:themeColor="text1"/>
                <w:sz w:val="20"/>
              </w:rPr>
            </w:pPr>
            <w:r w:rsidRPr="00ED38DE">
              <w:rPr>
                <w:b/>
                <w:bCs/>
                <w:color w:val="0070C0"/>
                <w:sz w:val="20"/>
              </w:rPr>
              <w:t xml:space="preserve">&lt;Agreement &gt;: </w:t>
            </w:r>
          </w:p>
          <w:p w14:paraId="75A33EBD" w14:textId="77777777" w:rsidR="00ED38DE" w:rsidRPr="00ED38DE" w:rsidRDefault="00ED38DE" w:rsidP="00ED38DE">
            <w:pPr>
              <w:pStyle w:val="ListParagraph"/>
              <w:numPr>
                <w:ilvl w:val="0"/>
                <w:numId w:val="9"/>
              </w:numPr>
              <w:spacing w:after="120" w:line="240" w:lineRule="auto"/>
              <w:ind w:left="720"/>
              <w:contextualSpacing w:val="0"/>
              <w:rPr>
                <w:rFonts w:eastAsia="SimSun"/>
                <w:color w:val="000000" w:themeColor="text1"/>
                <w:sz w:val="20"/>
              </w:rPr>
            </w:pPr>
            <w:r w:rsidRPr="00ED38DE">
              <w:rPr>
                <w:rFonts w:eastAsia="SimSun"/>
                <w:color w:val="000000" w:themeColor="text1"/>
                <w:sz w:val="20"/>
              </w:rPr>
              <w:t>The current SSB-based timing requirement can be also applied to non-</w:t>
            </w:r>
            <w:proofErr w:type="spellStart"/>
            <w:r w:rsidRPr="00ED38DE">
              <w:rPr>
                <w:rFonts w:eastAsia="SimSun"/>
                <w:color w:val="000000" w:themeColor="text1"/>
                <w:sz w:val="20"/>
              </w:rPr>
              <w:t>RedCap</w:t>
            </w:r>
            <w:proofErr w:type="spellEnd"/>
            <w:r w:rsidRPr="00ED38DE">
              <w:rPr>
                <w:rFonts w:eastAsia="SimSun"/>
                <w:color w:val="000000" w:themeColor="text1"/>
                <w:sz w:val="20"/>
              </w:rPr>
              <w:t xml:space="preserve"> UE with NCD-CCB support.</w:t>
            </w:r>
          </w:p>
          <w:p w14:paraId="550F3E34" w14:textId="198403B0" w:rsidR="00914962" w:rsidRPr="00ED38DE" w:rsidRDefault="00ED38DE" w:rsidP="00ED38DE">
            <w:pPr>
              <w:pStyle w:val="ListParagraph"/>
              <w:numPr>
                <w:ilvl w:val="0"/>
                <w:numId w:val="9"/>
              </w:numPr>
              <w:spacing w:after="120" w:line="240" w:lineRule="auto"/>
              <w:ind w:left="720"/>
              <w:contextualSpacing w:val="0"/>
              <w:rPr>
                <w:rFonts w:eastAsia="SimSun"/>
                <w:color w:val="000000" w:themeColor="text1"/>
                <w:szCs w:val="24"/>
              </w:rPr>
            </w:pPr>
            <w:r w:rsidRPr="00ED38DE">
              <w:rPr>
                <w:rFonts w:eastAsia="SimSun"/>
                <w:color w:val="000000" w:themeColor="text1"/>
                <w:sz w:val="20"/>
              </w:rPr>
              <w:t>FFS whether/what additional clarification are needed.</w:t>
            </w:r>
          </w:p>
        </w:tc>
      </w:tr>
    </w:tbl>
    <w:p w14:paraId="4672E15A" w14:textId="77777777" w:rsidR="00914962" w:rsidRDefault="00914962" w:rsidP="001D43C9">
      <w:pPr>
        <w:jc w:val="both"/>
      </w:pPr>
    </w:p>
    <w:p w14:paraId="0ECA1B9D" w14:textId="77777777" w:rsidR="004E171B" w:rsidRDefault="004E171B" w:rsidP="004E171B">
      <w:pPr>
        <w:jc w:val="both"/>
      </w:pPr>
      <w:r>
        <w:rPr>
          <w:b/>
          <w:color w:val="000000" w:themeColor="text1"/>
          <w:sz w:val="20"/>
          <w:szCs w:val="20"/>
          <w:u w:val="single"/>
          <w:lang w:eastAsia="ko-KR"/>
        </w:rPr>
        <w:t xml:space="preserve">Regarding </w:t>
      </w:r>
      <w:r w:rsidRPr="00A378C9">
        <w:rPr>
          <w:b/>
          <w:color w:val="000000" w:themeColor="text1"/>
          <w:sz w:val="20"/>
          <w:szCs w:val="20"/>
          <w:u w:val="single"/>
          <w:lang w:eastAsia="ko-KR"/>
        </w:rPr>
        <w:t>L3 intra-frequency measurements</w:t>
      </w:r>
      <w:r w:rsidRPr="006043ED">
        <w:rPr>
          <w:b/>
          <w:color w:val="000000" w:themeColor="text1"/>
          <w:sz w:val="20"/>
          <w:szCs w:val="20"/>
          <w:u w:val="single"/>
          <w:lang w:eastAsia="ko-KR"/>
        </w:rPr>
        <w:t>:</w:t>
      </w:r>
    </w:p>
    <w:p w14:paraId="7FE26F24" w14:textId="1C5790B5" w:rsidR="004E171B" w:rsidRDefault="003147AC" w:rsidP="001D43C9">
      <w:pPr>
        <w:jc w:val="both"/>
      </w:pPr>
      <w:r w:rsidRPr="003147AC">
        <w:t xml:space="preserve">The existing RAN4 requirements specify that the UE is not required to perform BM/RLM/BFD outside the active BWP. </w:t>
      </w:r>
      <w:r w:rsidR="00DB6501">
        <w:t xml:space="preserve">However, in the previous RAN4 meeting we agree that ‘the </w:t>
      </w:r>
      <w:r w:rsidR="00DB6501" w:rsidRPr="00DB6501">
        <w:t>existing requirements for SSB-based RLM/BFD/BM for non-</w:t>
      </w:r>
      <w:proofErr w:type="spellStart"/>
      <w:r w:rsidR="00DB6501" w:rsidRPr="00DB6501">
        <w:t>RedCap</w:t>
      </w:r>
      <w:proofErr w:type="spellEnd"/>
      <w:r w:rsidR="00DB6501" w:rsidRPr="00DB6501">
        <w:t xml:space="preserve"> UE are applicable to option C</w:t>
      </w:r>
      <w:r w:rsidR="00DB6501">
        <w:t xml:space="preserve">’. </w:t>
      </w:r>
      <w:r w:rsidR="003C172F">
        <w:t xml:space="preserve">Then, RAN4 discussed the requirements for L3 intra-frequency measurements. </w:t>
      </w:r>
      <w:r w:rsidR="004E171B">
        <w:t>In addition, t</w:t>
      </w:r>
      <w:r w:rsidR="004E171B" w:rsidRPr="003147AC">
        <w:t xml:space="preserve">he existing RAN4 requirements specify that the UE </w:t>
      </w:r>
      <w:r w:rsidR="00473ED4">
        <w:t xml:space="preserve">is not </w:t>
      </w:r>
      <w:r w:rsidR="00473ED4">
        <w:lastRenderedPageBreak/>
        <w:t>allowed to use</w:t>
      </w:r>
      <w:r w:rsidR="004E171B">
        <w:t xml:space="preserve"> </w:t>
      </w:r>
      <w:r w:rsidR="00473ED4">
        <w:t>NCD-SSB</w:t>
      </w:r>
      <w:r w:rsidR="004E171B" w:rsidRPr="003147AC">
        <w:t xml:space="preserve"> to perform </w:t>
      </w:r>
      <w:r w:rsidR="004E171B" w:rsidRPr="00B81E44">
        <w:t xml:space="preserve">L3 intra-frequency measurements </w:t>
      </w:r>
      <w:r w:rsidR="003C172F">
        <w:t>within</w:t>
      </w:r>
      <w:r w:rsidR="004E171B" w:rsidRPr="003147AC">
        <w:t xml:space="preserve"> the active BWP.</w:t>
      </w:r>
      <w:r w:rsidR="00473ED4">
        <w:t xml:space="preserve"> Then, in the previous RAN plenary #100, a new objective was added to the revised WI to allow the UE to perform </w:t>
      </w:r>
      <w:r w:rsidR="00473ED4" w:rsidRPr="00B81E44">
        <w:t xml:space="preserve">L3 intra-frequency measurements </w:t>
      </w:r>
      <w:r w:rsidR="00473ED4">
        <w:t xml:space="preserve">based SSB outside the active BWP, </w:t>
      </w:r>
      <w:proofErr w:type="gramStart"/>
      <w:r w:rsidR="00473ED4">
        <w:t>i.e.</w:t>
      </w:r>
      <w:proofErr w:type="gramEnd"/>
      <w:r w:rsidR="00473ED4">
        <w:t xml:space="preserve"> using NCD-SSB. </w:t>
      </w:r>
      <w:r w:rsidR="00473ED4" w:rsidRPr="00473ED4">
        <w:t xml:space="preserve">Such scenario was discussed back in Rel-17 </w:t>
      </w:r>
      <w:proofErr w:type="spellStart"/>
      <w:r w:rsidR="00473ED4" w:rsidRPr="00473ED4">
        <w:t>RedCap</w:t>
      </w:r>
      <w:proofErr w:type="spellEnd"/>
      <w:r w:rsidR="00473ED4" w:rsidRPr="00473ED4">
        <w:t xml:space="preserve"> </w:t>
      </w:r>
      <w:proofErr w:type="gramStart"/>
      <w:r w:rsidR="00473ED4" w:rsidRPr="00473ED4">
        <w:t>WI</w:t>
      </w:r>
      <w:proofErr w:type="gramEnd"/>
      <w:r w:rsidR="00473ED4" w:rsidRPr="00473ED4">
        <w:t xml:space="preserve"> and it was agreed that existing UE requirements based on CD-SSB can be reused for 2Rx </w:t>
      </w:r>
      <w:proofErr w:type="spellStart"/>
      <w:r w:rsidR="00473ED4" w:rsidRPr="00473ED4">
        <w:t>RedCap</w:t>
      </w:r>
      <w:proofErr w:type="spellEnd"/>
      <w:r w:rsidR="00473ED4" w:rsidRPr="00473ED4">
        <w:t xml:space="preserve"> UE with NCD-SSB.</w:t>
      </w:r>
      <w:r w:rsidR="003C172F">
        <w:t xml:space="preserve"> </w:t>
      </w:r>
      <w:r w:rsidR="003C172F" w:rsidRPr="003147AC">
        <w:t xml:space="preserve">Now, for the case of active BWP without CD-SSB </w:t>
      </w:r>
      <w:r w:rsidR="003C172F">
        <w:t>but with</w:t>
      </w:r>
      <w:r w:rsidR="003C172F" w:rsidRPr="003147AC">
        <w:t xml:space="preserve"> the NCD-SSB is contained within the active BWP</w:t>
      </w:r>
      <w:r w:rsidR="003C172F">
        <w:t xml:space="preserve">, </w:t>
      </w:r>
      <w:r w:rsidR="003C172F" w:rsidRPr="003147AC">
        <w:t xml:space="preserve">the existing requirements in RAN4 </w:t>
      </w:r>
      <w:r w:rsidR="003C172F">
        <w:t xml:space="preserve">for </w:t>
      </w:r>
      <w:r w:rsidR="001D28B3">
        <w:t>L3 intra-frequency</w:t>
      </w:r>
      <w:r w:rsidR="003C172F">
        <w:t xml:space="preserve"> measurements </w:t>
      </w:r>
      <w:r w:rsidR="003C172F" w:rsidRPr="003147AC">
        <w:t>can be directly applied with no changes.</w:t>
      </w:r>
    </w:p>
    <w:p w14:paraId="10B73CF6" w14:textId="77777777" w:rsidR="004E171B" w:rsidRDefault="004E171B" w:rsidP="001D43C9">
      <w:pPr>
        <w:jc w:val="both"/>
      </w:pPr>
    </w:p>
    <w:p w14:paraId="2D29E9ED" w14:textId="7A73F720" w:rsidR="009362C0" w:rsidRPr="00687E4C" w:rsidRDefault="001D28B3" w:rsidP="009362C0">
      <w:pPr>
        <w:pStyle w:val="ListParagraph"/>
        <w:numPr>
          <w:ilvl w:val="0"/>
          <w:numId w:val="5"/>
        </w:numPr>
        <w:spacing w:after="180"/>
        <w:contextualSpacing w:val="0"/>
        <w:jc w:val="both"/>
        <w:rPr>
          <w:rFonts w:ascii="Times New Roman" w:hAnsi="Times New Roman" w:cs="Times New Roman"/>
          <w:sz w:val="20"/>
          <w:szCs w:val="20"/>
        </w:rPr>
      </w:pPr>
      <w:bookmarkStart w:id="4" w:name="_Ref127463711"/>
      <w:r>
        <w:rPr>
          <w:rFonts w:cstheme="minorHAnsi"/>
          <w:b/>
          <w:lang w:eastAsia="ko-KR"/>
        </w:rPr>
        <w:t xml:space="preserve">For UE capable of supporting Option C capability (NCD-SSB), the requirements in section 9.2.5 for </w:t>
      </w:r>
      <w:r w:rsidRPr="005B0B23">
        <w:rPr>
          <w:rFonts w:cstheme="minorHAnsi"/>
          <w:b/>
          <w:lang w:eastAsia="ko-KR"/>
        </w:rPr>
        <w:t>Intra</w:t>
      </w:r>
      <w:r>
        <w:rPr>
          <w:rFonts w:cstheme="minorHAnsi"/>
          <w:b/>
          <w:lang w:eastAsia="ko-KR"/>
        </w:rPr>
        <w:t>-</w:t>
      </w:r>
      <w:r w:rsidRPr="005B0B23">
        <w:rPr>
          <w:rFonts w:cstheme="minorHAnsi"/>
          <w:b/>
          <w:lang w:eastAsia="ko-KR"/>
        </w:rPr>
        <w:t>frequency measurements without measurement gaps</w:t>
      </w:r>
      <w:r>
        <w:rPr>
          <w:rFonts w:cstheme="minorHAnsi"/>
          <w:b/>
          <w:lang w:eastAsia="ko-KR"/>
        </w:rPr>
        <w:t xml:space="preserve"> are applicable with ND-SSB within the active BWP with no changes required to the existing requirements</w:t>
      </w:r>
      <w:r w:rsidR="009362C0">
        <w:rPr>
          <w:rFonts w:cstheme="minorHAnsi"/>
          <w:b/>
          <w:lang w:eastAsia="ko-KR"/>
        </w:rPr>
        <w:t>.</w:t>
      </w:r>
      <w:bookmarkEnd w:id="4"/>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5" w:name="_Ref92572437"/>
    </w:p>
    <w:p w14:paraId="174EE7AC" w14:textId="25E0A2C5" w:rsidR="00ED605C" w:rsidRDefault="00440D0E" w:rsidP="00D636E8">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sidR="006059D4">
        <w:rPr>
          <w:b/>
          <w:bCs/>
        </w:rPr>
        <w:t>Proposal 1:</w:t>
      </w:r>
      <w:r w:rsidRPr="00440D0E">
        <w:rPr>
          <w:b/>
          <w:bCs/>
        </w:rPr>
        <w:fldChar w:fldCharType="end"/>
      </w:r>
      <w:r w:rsidRPr="00440D0E">
        <w:rPr>
          <w:b/>
          <w:bCs/>
        </w:rPr>
        <w:t xml:space="preserve"> </w:t>
      </w:r>
      <w:r w:rsidRPr="00440D0E">
        <w:rPr>
          <w:b/>
          <w:bCs/>
        </w:rPr>
        <w:fldChar w:fldCharType="begin"/>
      </w:r>
      <w:r w:rsidRPr="00440D0E">
        <w:rPr>
          <w:b/>
          <w:bCs/>
        </w:rPr>
        <w:instrText xml:space="preserve"> REF _Ref127463711 \h </w:instrText>
      </w:r>
      <w:r>
        <w:rPr>
          <w:b/>
          <w:bCs/>
        </w:rPr>
        <w:instrText xml:space="preserve"> \* MERGEFORMAT </w:instrText>
      </w:r>
      <w:r w:rsidRPr="00440D0E">
        <w:rPr>
          <w:b/>
          <w:bCs/>
        </w:rPr>
      </w:r>
      <w:r w:rsidRPr="00440D0E">
        <w:rPr>
          <w:b/>
          <w:bCs/>
        </w:rPr>
        <w:fldChar w:fldCharType="separate"/>
      </w:r>
      <w:r w:rsidR="006059D4" w:rsidRPr="006059D4">
        <w:rPr>
          <w:rFonts w:cstheme="minorHAnsi"/>
          <w:b/>
          <w:bCs/>
          <w:lang w:eastAsia="ko-KR"/>
        </w:rPr>
        <w:t>For</w:t>
      </w:r>
      <w:r w:rsidR="006059D4">
        <w:rPr>
          <w:rFonts w:cstheme="minorHAnsi"/>
          <w:b/>
          <w:lang w:eastAsia="ko-KR"/>
        </w:rPr>
        <w:t xml:space="preserve"> UE capable of supporting Option C capability (NCD-SSB), the requirements in section 9.2.5 for </w:t>
      </w:r>
      <w:r w:rsidR="006059D4" w:rsidRPr="005B0B23">
        <w:rPr>
          <w:rFonts w:cstheme="minorHAnsi"/>
          <w:b/>
          <w:lang w:eastAsia="ko-KR"/>
        </w:rPr>
        <w:t>Intra</w:t>
      </w:r>
      <w:r w:rsidR="006059D4">
        <w:rPr>
          <w:rFonts w:cstheme="minorHAnsi"/>
          <w:b/>
          <w:lang w:eastAsia="ko-KR"/>
        </w:rPr>
        <w:t>-</w:t>
      </w:r>
      <w:r w:rsidR="006059D4" w:rsidRPr="005B0B23">
        <w:rPr>
          <w:rFonts w:cstheme="minorHAnsi"/>
          <w:b/>
          <w:lang w:eastAsia="ko-KR"/>
        </w:rPr>
        <w:t>frequency measurements without measurement gaps</w:t>
      </w:r>
      <w:r w:rsidR="006059D4">
        <w:rPr>
          <w:rFonts w:cstheme="minorHAnsi"/>
          <w:b/>
          <w:lang w:eastAsia="ko-KR"/>
        </w:rPr>
        <w:t xml:space="preserve"> are applicable with ND-SSB within the active BWP with no changes required to the existing requirements.</w:t>
      </w:r>
      <w:r w:rsidRPr="00440D0E">
        <w:rPr>
          <w:b/>
          <w:bCs/>
        </w:rPr>
        <w:fldChar w:fldCharType="end"/>
      </w:r>
    </w:p>
    <w:p w14:paraId="1B5FFFEE" w14:textId="4EAA2C2F" w:rsidR="00195CF4" w:rsidRPr="00440D0E" w:rsidRDefault="00195CF4" w:rsidP="00D636E8">
      <w:pPr>
        <w:jc w:val="both"/>
        <w:rPr>
          <w:b/>
          <w:bCs/>
        </w:rPr>
      </w:pPr>
    </w:p>
    <w:bookmarkEnd w:id="5"/>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35895FB3" w14:textId="5B381D91" w:rsidR="00E25567" w:rsidRDefault="0012574C" w:rsidP="00E25567">
      <w:pPr>
        <w:pStyle w:val="ListParagraph"/>
        <w:numPr>
          <w:ilvl w:val="0"/>
          <w:numId w:val="4"/>
        </w:numPr>
        <w:jc w:val="both"/>
        <w:rPr>
          <w:rFonts w:cstheme="minorHAnsi"/>
          <w:color w:val="000000"/>
        </w:rPr>
      </w:pPr>
      <w:bookmarkStart w:id="6" w:name="_Ref115358872"/>
      <w:r>
        <w:rPr>
          <w:rFonts w:cstheme="minorHAnsi"/>
          <w:color w:val="000000"/>
        </w:rPr>
        <w:t>RP-</w:t>
      </w:r>
      <w:bookmarkStart w:id="7" w:name="_Hlk142660821"/>
      <w:r w:rsidR="007F4B02" w:rsidRPr="00FF7BCB">
        <w:rPr>
          <w:rFonts w:cstheme="minorHAnsi"/>
          <w:bCs/>
          <w:color w:val="000000"/>
        </w:rPr>
        <w:t>231486</w:t>
      </w:r>
      <w:r w:rsidR="007F4B02" w:rsidRPr="00560F8D">
        <w:rPr>
          <w:rFonts w:cstheme="minorHAnsi"/>
          <w:bCs/>
          <w:color w:val="000000"/>
        </w:rPr>
        <w:t xml:space="preserve">, “New WID: Complete the specification support for </w:t>
      </w:r>
      <w:proofErr w:type="spellStart"/>
      <w:r w:rsidR="007F4B02" w:rsidRPr="00560F8D">
        <w:rPr>
          <w:rFonts w:cstheme="minorHAnsi"/>
          <w:bCs/>
          <w:color w:val="000000"/>
        </w:rPr>
        <w:t>BandWidth</w:t>
      </w:r>
      <w:proofErr w:type="spellEnd"/>
      <w:r w:rsidR="007F4B02" w:rsidRPr="00560F8D">
        <w:rPr>
          <w:rFonts w:cstheme="minorHAnsi"/>
          <w:bCs/>
          <w:color w:val="000000"/>
        </w:rPr>
        <w:t xml:space="preserve"> Part operation without restriction in NR”,</w:t>
      </w:r>
      <w:r w:rsidR="007F4B02">
        <w:rPr>
          <w:rFonts w:cstheme="minorHAnsi"/>
          <w:color w:val="000000"/>
        </w:rPr>
        <w:t xml:space="preserve"> Vodafone, vivo, </w:t>
      </w:r>
      <w:r w:rsidR="007F4B02" w:rsidRPr="00FF7BCB">
        <w:rPr>
          <w:rFonts w:cstheme="minorHAnsi"/>
          <w:color w:val="000000"/>
        </w:rPr>
        <w:t>Taipei, Taiwan</w:t>
      </w:r>
      <w:r w:rsidR="007F4B02">
        <w:rPr>
          <w:rFonts w:cstheme="minorHAnsi"/>
          <w:color w:val="000000"/>
        </w:rPr>
        <w:t xml:space="preserve">, </w:t>
      </w:r>
      <w:r w:rsidR="005B5688">
        <w:rPr>
          <w:rFonts w:cstheme="minorHAnsi"/>
          <w:color w:val="000000"/>
        </w:rPr>
        <w:t>June</w:t>
      </w:r>
      <w:r w:rsidR="007F4B02">
        <w:rPr>
          <w:rFonts w:cstheme="minorHAnsi"/>
          <w:color w:val="000000"/>
        </w:rPr>
        <w:t xml:space="preserve"> 2023</w:t>
      </w:r>
      <w:bookmarkEnd w:id="7"/>
      <w:r>
        <w:rPr>
          <w:rFonts w:cstheme="minorHAnsi"/>
          <w:color w:val="000000"/>
        </w:rPr>
        <w:t>.</w:t>
      </w:r>
      <w:bookmarkEnd w:id="6"/>
    </w:p>
    <w:p w14:paraId="460F47F4" w14:textId="3208B35B" w:rsidR="0012574C" w:rsidRPr="00E25567" w:rsidRDefault="00E25567" w:rsidP="00E25567">
      <w:pPr>
        <w:pStyle w:val="ListParagraph"/>
        <w:numPr>
          <w:ilvl w:val="0"/>
          <w:numId w:val="4"/>
        </w:numPr>
        <w:jc w:val="both"/>
        <w:rPr>
          <w:rFonts w:cstheme="minorHAnsi"/>
          <w:color w:val="000000"/>
        </w:rPr>
      </w:pPr>
      <w:bookmarkStart w:id="8" w:name="_Ref118284665"/>
      <w:r w:rsidRPr="00751201">
        <w:rPr>
          <w:rFonts w:cstheme="minorHAnsi"/>
          <w:color w:val="000000"/>
        </w:rPr>
        <w:t>R4-</w:t>
      </w:r>
      <w:bookmarkStart w:id="9" w:name="_Hlk142660832"/>
      <w:r w:rsidR="00A20793" w:rsidRPr="00B33DBE">
        <w:rPr>
          <w:rFonts w:cstheme="minorHAnsi"/>
          <w:color w:val="000000"/>
        </w:rPr>
        <w:t>2310176</w:t>
      </w:r>
      <w:r w:rsidR="00A20793" w:rsidRPr="00751201">
        <w:rPr>
          <w:rFonts w:cstheme="minorHAnsi"/>
          <w:color w:val="000000"/>
        </w:rPr>
        <w:t>, “</w:t>
      </w:r>
      <w:r w:rsidR="00A20793" w:rsidRPr="00B33DBE">
        <w:rPr>
          <w:rFonts w:cstheme="minorHAnsi"/>
          <w:color w:val="000000"/>
        </w:rPr>
        <w:t>WF on NR BWP operation without restriction</w:t>
      </w:r>
      <w:r w:rsidR="00A20793" w:rsidRPr="00751201">
        <w:rPr>
          <w:rFonts w:cstheme="minorHAnsi"/>
          <w:color w:val="000000"/>
        </w:rPr>
        <w:t xml:space="preserve">”, vivo, </w:t>
      </w:r>
      <w:r w:rsidR="00A20793" w:rsidRPr="00E861C0">
        <w:rPr>
          <w:rFonts w:cstheme="minorHAnsi"/>
          <w:color w:val="000000"/>
        </w:rPr>
        <w:t xml:space="preserve">Incheon, KR, May </w:t>
      </w:r>
      <w:r w:rsidR="00A20793" w:rsidRPr="00751201">
        <w:rPr>
          <w:rFonts w:cstheme="minorHAnsi"/>
          <w:color w:val="000000"/>
        </w:rPr>
        <w:t>2023</w:t>
      </w:r>
      <w:bookmarkEnd w:id="9"/>
      <w:r w:rsidRPr="00751201">
        <w:rPr>
          <w:rFonts w:cstheme="minorHAnsi"/>
          <w:color w:val="000000"/>
        </w:rPr>
        <w:t>.</w:t>
      </w:r>
      <w:bookmarkEnd w:id="8"/>
    </w:p>
    <w:sectPr w:rsidR="0012574C" w:rsidRPr="00E2556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563AE" w14:textId="77777777" w:rsidR="009927D4" w:rsidRDefault="009927D4">
      <w:r>
        <w:separator/>
      </w:r>
    </w:p>
  </w:endnote>
  <w:endnote w:type="continuationSeparator" w:id="0">
    <w:p w14:paraId="69B784BC" w14:textId="77777777" w:rsidR="009927D4" w:rsidRDefault="0099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39C54" w14:textId="77777777" w:rsidR="009927D4" w:rsidRDefault="009927D4">
      <w:r>
        <w:separator/>
      </w:r>
    </w:p>
  </w:footnote>
  <w:footnote w:type="continuationSeparator" w:id="0">
    <w:p w14:paraId="2D5686B2" w14:textId="77777777" w:rsidR="009927D4" w:rsidRDefault="00992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96296679">
    <w:abstractNumId w:val="23"/>
  </w:num>
  <w:num w:numId="2" w16cid:durableId="475924120">
    <w:abstractNumId w:val="9"/>
  </w:num>
  <w:num w:numId="3" w16cid:durableId="427120996">
    <w:abstractNumId w:val="12"/>
  </w:num>
  <w:num w:numId="4" w16cid:durableId="1964529641">
    <w:abstractNumId w:val="22"/>
  </w:num>
  <w:num w:numId="5" w16cid:durableId="674108494">
    <w:abstractNumId w:val="2"/>
  </w:num>
  <w:num w:numId="6" w16cid:durableId="102119043">
    <w:abstractNumId w:val="10"/>
  </w:num>
  <w:num w:numId="7" w16cid:durableId="1265116224">
    <w:abstractNumId w:val="6"/>
  </w:num>
  <w:num w:numId="8" w16cid:durableId="1803383565">
    <w:abstractNumId w:val="25"/>
  </w:num>
  <w:num w:numId="9" w16cid:durableId="993801712">
    <w:abstractNumId w:val="18"/>
  </w:num>
  <w:num w:numId="10" w16cid:durableId="159657332">
    <w:abstractNumId w:val="4"/>
  </w:num>
  <w:num w:numId="11" w16cid:durableId="1251742702">
    <w:abstractNumId w:val="27"/>
  </w:num>
  <w:num w:numId="12" w16cid:durableId="1491408461">
    <w:abstractNumId w:val="3"/>
  </w:num>
  <w:num w:numId="13" w16cid:durableId="1245338212">
    <w:abstractNumId w:val="15"/>
  </w:num>
  <w:num w:numId="14" w16cid:durableId="466900699">
    <w:abstractNumId w:val="24"/>
  </w:num>
  <w:num w:numId="15" w16cid:durableId="1012728965">
    <w:abstractNumId w:val="0"/>
  </w:num>
  <w:num w:numId="16" w16cid:durableId="1704138035">
    <w:abstractNumId w:val="26"/>
  </w:num>
  <w:num w:numId="17" w16cid:durableId="1796489112">
    <w:abstractNumId w:val="17"/>
  </w:num>
  <w:num w:numId="18" w16cid:durableId="1123962647">
    <w:abstractNumId w:val="14"/>
  </w:num>
  <w:num w:numId="19" w16cid:durableId="88238866">
    <w:abstractNumId w:val="1"/>
  </w:num>
  <w:num w:numId="20" w16cid:durableId="31543005">
    <w:abstractNumId w:val="21"/>
  </w:num>
  <w:num w:numId="21" w16cid:durableId="400299063">
    <w:abstractNumId w:val="20"/>
  </w:num>
  <w:num w:numId="22" w16cid:durableId="194925840">
    <w:abstractNumId w:val="11"/>
  </w:num>
  <w:num w:numId="23" w16cid:durableId="1850099475">
    <w:abstractNumId w:val="28"/>
  </w:num>
  <w:num w:numId="24" w16cid:durableId="2144611270">
    <w:abstractNumId w:val="13"/>
  </w:num>
  <w:num w:numId="25" w16cid:durableId="1610241083">
    <w:abstractNumId w:val="5"/>
  </w:num>
  <w:num w:numId="26" w16cid:durableId="101270873">
    <w:abstractNumId w:val="19"/>
  </w:num>
  <w:num w:numId="27" w16cid:durableId="1557742005">
    <w:abstractNumId w:val="7"/>
  </w:num>
  <w:num w:numId="28" w16cid:durableId="1638532965">
    <w:abstractNumId w:val="16"/>
  </w:num>
  <w:num w:numId="29" w16cid:durableId="1063524600">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5C4A"/>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310"/>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A13"/>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8B3"/>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BCA"/>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C47"/>
    <w:rsid w:val="00256D93"/>
    <w:rsid w:val="00256EA1"/>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78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466"/>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2B20"/>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27A"/>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172F"/>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DA6"/>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C29"/>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3ED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3F4B"/>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1B"/>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219"/>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688"/>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9D4"/>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2BC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AEA"/>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02"/>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D4C"/>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4C7"/>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962"/>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2C0"/>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CFC"/>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7D4"/>
    <w:rsid w:val="00992A99"/>
    <w:rsid w:val="00992D26"/>
    <w:rsid w:val="00992DD7"/>
    <w:rsid w:val="00992E41"/>
    <w:rsid w:val="009931B3"/>
    <w:rsid w:val="009934A9"/>
    <w:rsid w:val="009935BF"/>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793"/>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2E"/>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299"/>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914"/>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1E3A"/>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501"/>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4AB"/>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2E16"/>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567"/>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8DE"/>
    <w:rsid w:val="00ED39D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C4F"/>
    <w:rsid w:val="00EE2FE7"/>
    <w:rsid w:val="00EE3795"/>
    <w:rsid w:val="00EE37E5"/>
    <w:rsid w:val="00EE3FFD"/>
    <w:rsid w:val="00EE43B9"/>
    <w:rsid w:val="00EE477D"/>
    <w:rsid w:val="00EE50C0"/>
    <w:rsid w:val="00EE514E"/>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22E"/>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872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722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2023-08-11T18:40:00Z</dcterms:created>
  <dcterms:modified xsi:type="dcterms:W3CDTF">2023-08-11T18:40:00Z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